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10D3C">
      <w:pPr>
        <w:widowControl/>
        <w:shd w:val="clear" w:color="auto" w:fill="FFFFFF"/>
        <w:spacing w:line="360" w:lineRule="auto"/>
        <w:jc w:val="left"/>
        <w:rPr>
          <w:rFonts w:hint="default" w:ascii="微软雅黑" w:hAnsi="微软雅黑" w:eastAsia="微软雅黑" w:cs="微软雅黑"/>
          <w:color w:val="000000"/>
          <w:kern w:val="0"/>
          <w:szCs w:val="21"/>
          <w:shd w:val="clear" w:color="auto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val="en-US" w:eastAsia="zh-CN" w:bidi="ar"/>
        </w:rPr>
        <w:t>附件五：服务内容和要求</w:t>
      </w:r>
    </w:p>
    <w:p w14:paraId="2F713EC3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b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Cs w:val="21"/>
          <w:shd w:val="clear" w:color="auto" w:fill="FFFFFF"/>
          <w:lang w:bidi="ar"/>
        </w:rPr>
        <w:t>（一）服务内容</w:t>
      </w:r>
      <w:bookmarkStart w:id="0" w:name="_GoBack"/>
      <w:bookmarkEnd w:id="0"/>
    </w:p>
    <w:p w14:paraId="660E95DB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1、7*24小时网络威胁监测服务</w:t>
      </w:r>
    </w:p>
    <w:p w14:paraId="4A5B0022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服务拟使用硬件的品牌型号：360边缘安全大脑1台+探针1台。</w:t>
      </w:r>
    </w:p>
    <w:p w14:paraId="4AF57C10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边缘安全大脑是本次安全运营保障服务</w:t>
      </w:r>
      <w:r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的服务工具，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服务商需提供全新的服务器和探针设备，部署在信息中心机房，为学院提供实时网络威胁监测、预警与分析服务。包括对学院内网告警进行有效性验证，过滤无效错误告警；对安全告警监测分析并同步学院；通过工单流程处置和闭环有效告警；进行安全策略优化和SOAR自动化响应等。</w:t>
      </w:r>
    </w:p>
    <w:p w14:paraId="66C34E6B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3、其他运营处置服务</w:t>
      </w:r>
    </w:p>
    <w:p w14:paraId="3468997F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提供周期性运营复盘服务，定期复盘学院安全事件与风险情况，提供季报、半年报、年度报告并存档，报告内容涵盖阶段性安全运营统计分析及重要安全事件，如告警和事件统计、变化曲线等，助学院掌握整体安全运营状况与规划建设。</w:t>
      </w:r>
    </w:p>
    <w:p w14:paraId="71813520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每年提供一次网络应急演练服务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，</w:t>
      </w:r>
      <w:r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安全专家依学院信息系统实际调研制订安全攻防演练方案，通过红蓝方真实对抗演习，从多维度发现学校安全防御问题，完善安全体系建设，提升对抗新兴威胁能力，演练后交付报告。</w:t>
      </w:r>
    </w:p>
    <w:p w14:paraId="6BE95244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每年提供一次安全培训服务，依学院需求提供网络安全意识培训，内容含近两年网络安全事件、发展形势与意识提升。</w:t>
      </w:r>
    </w:p>
    <w:p w14:paraId="52E207B5">
      <w:pPr>
        <w:widowControl/>
        <w:numPr>
          <w:ilvl w:val="0"/>
          <w:numId w:val="1"/>
        </w:numPr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b/>
          <w:color w:val="000000"/>
          <w:kern w:val="0"/>
          <w:szCs w:val="21"/>
          <w:shd w:val="clear" w:color="auto" w:fill="FFFFFF"/>
          <w:lang w:bidi="ar"/>
        </w:rPr>
      </w:pPr>
      <w:r>
        <w:rPr>
          <w:rFonts w:ascii="微软雅黑" w:hAnsi="微软雅黑" w:eastAsia="微软雅黑" w:cs="微软雅黑"/>
          <w:b/>
          <w:color w:val="000000"/>
          <w:kern w:val="0"/>
          <w:szCs w:val="21"/>
          <w:shd w:val="clear" w:color="auto" w:fill="FFFFFF"/>
          <w:lang w:bidi="ar"/>
        </w:rPr>
        <w:t>服务要求</w:t>
      </w:r>
    </w:p>
    <w:p w14:paraId="3D495AE2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1、运营平台能力要求</w:t>
      </w:r>
    </w:p>
    <w:p w14:paraId="0276DEA8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平台的整体能力需包含安全动态、服务态势、服务概览、服务报告、人工智能AI机器人等等。托管服务通过统一运营平台进行整体运营，运营过程遵循可观、可管、可控、可溯的原则，能够保障在整个运营过程中,告警、分析和事件处置措施是连续和完整的，同时所有的告警分析研判过程完全可被回溯。运营过程需融入ChatGPT等先进技术进行数据处理和分析,以更好地保障学院网络安全和运营效果。</w:t>
      </w:r>
    </w:p>
    <w:p w14:paraId="45900C22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2、运营平台界面要求</w:t>
      </w:r>
    </w:p>
    <w:p w14:paraId="74297A65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运营界面要能展示整体的安全态势情况，用户可以查看不同的威胁信息,如资产监测情况和风险情况的概览、不同类别资产应用的TOP排名、近7天的风险感知情况、近7天的热门攻击播报、近7天的漏洞发现情况以及近7天的威胁识别情况等等。通过这些指标,使用户快速了解整体安全态势,以便及时采取措施来保护业务和安全。此外，在界面上用户可以随时与运营人员进行互动交流,从而更好地了解整个运营过程的情况。</w:t>
      </w:r>
    </w:p>
    <w:p w14:paraId="5AFC8369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3、安全运营人员要求</w:t>
      </w:r>
    </w:p>
    <w:p w14:paraId="2B9D8B6A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服务商的安全运营团队必须是经验丰富的安全专家组成，提供包括远程运营和安全分析等方面的工作，为学院的业务和安全保驾护航。运营团队成员的职责：运营经理对项目整体情况负责，监督项目进度，及时发现风险，保障运营效果；运营工程师负责日常的告警分析、事件的处理等;运营专家要专注于运营能力的研究和运营效果的不断提升。</w:t>
      </w:r>
    </w:p>
    <w:p w14:paraId="2DACE27D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4、探针能力要求</w:t>
      </w:r>
    </w:p>
    <w:p w14:paraId="691F4ECA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①数据采集：</w:t>
      </w:r>
    </w:p>
    <w:p w14:paraId="414EECE6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数据解析规则支持规则嵌套和逻辑组合方式，能够对一组事件进行多层规则解析处理，添加、删除、重命名、合并、拆分与裁剪现有字段，对范式化后字段再解析处理。支持多种数据解析，包含精准匹配、包含再解析、正则匹配后从数据头、尾进行二次解析等处理。</w:t>
      </w:r>
    </w:p>
    <w:p w14:paraId="21E80CF8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②数据分析：</w:t>
      </w:r>
    </w:p>
    <w:p w14:paraId="37FE4EA1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支持内置500+规则模型，并支持模型的启用与停止配置。支持查看模型对应的典型攻击场景，理解典型的攻击过程，辅助告警分析研判。支持关联规则根据数据标准进行规则编写的自动化推荐，系统根据事件类型自动推荐其所属的对象。支持关联规则在配置时评估该策略运行所使用的资源情况，在线显示该规则的性能指标，分为优、良、差多个级别。告警事件支持 ATT&amp;CK 攻击技术识别与详细说明展示，包括攻击技术的说明，攻击技术的数据源等信息辅助分析。</w:t>
      </w:r>
    </w:p>
    <w:p w14:paraId="53F9A560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③资产识别：</w:t>
      </w:r>
    </w:p>
    <w:p w14:paraId="568860D8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支持网站子URL的爬取，并形成网站地图。支持标记来源，来源至少包括爬虫、被动流量、情报等。支持限制爬取的目录层数（不低于5级）、单个路径下文件数量（不少于50个文件）、爬取URL总数（不少于3000）、能够过滤特定类型的URL（如图片、样式表、字体等），支持对网站地图中爬取到的特殊URL进行自动化标记，至少包括API和管理后台标记。</w:t>
      </w:r>
    </w:p>
    <w:p w14:paraId="4652C829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支持国产化设备的指纹特征识别，支持3000+种国产化指纹，其中包括：a.达梦、人大金仓等国产数据库的指纹≥10种。b.东方通等中间件的指纹≥10种。c.华为、海康威视等国产监控设备≥200种。d.金蝶OA、致远OA等国产业务系统指纹≥500种。5.天融信防火墙、启明IDS等国产安全设备指纹≥500种。</w:t>
      </w:r>
    </w:p>
    <w:p w14:paraId="62CA5798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支持设置用户可以管理的资产范围，能够限制用户只能管理资产范围内的资产和这些资产对应的威胁。支持设置用户可以管理的资产范围，能够限制用户只能管理资产范围内的资产和这些资产对应的威胁。</w:t>
      </w:r>
    </w:p>
    <w:p w14:paraId="4FDC7824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④脆弱性检测</w:t>
      </w:r>
    </w:p>
    <w:p w14:paraId="711F3689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平台需支持后期扩展漏扫服务。POC插件需至少支持国产信创应用漏洞检测，国产信创应用漏洞≥500个。支持在1day漏洞爆发的24小时内进行漏洞情报实时推送（联网），且能针对新披露的高危1day漏洞自动匹配预估受影响资产数据，明确受影响范围。</w:t>
      </w:r>
    </w:p>
    <w:p w14:paraId="254BE375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⑤终端兼容性</w:t>
      </w:r>
    </w:p>
    <w:p w14:paraId="669CE772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产品支持对第三方提供数据接口，支持获取的数据包括客户端安装数量、客户端版本统计、操作系统统计、病毒库版本统计、补丁库版本统计、违规外联统计、终端安全检查结果等；支持获取分组列表、终端列表信息；支持查询终端软件、硬件、资产登记信息。支持向终端下发程序升级、病毒库升级、漏洞库升级以及杀毒扫描命令。</w:t>
      </w:r>
    </w:p>
    <w:p w14:paraId="4B5C27AB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⑥基础管理</w:t>
      </w:r>
    </w:p>
    <w:p w14:paraId="2824F711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支持对管理员账户登录或高危操作进行多因子认证，包括动态口令二次认证且可通过微信小程序查看动态口令，支持多因子认证的高危操作包括账号添加修改、重置密码、重置二维码、文件分发等。</w:t>
      </w:r>
    </w:p>
    <w:p w14:paraId="3055DEB0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支持终端用户提交故障信息并可上传相关附件，管理员收到信息后可查阅并处理。支持终端用户提交意见反馈信息，管理员收到信息后可查阅并处理。</w:t>
      </w:r>
    </w:p>
    <w:p w14:paraId="62CA7F4F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支持配置管理员账户登录白名单，即管理员只能在指定IP范围内的终端上才能登录管控中心。</w:t>
      </w:r>
    </w:p>
    <w:p w14:paraId="21B24F7A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⑦漏洞与补丁管理</w:t>
      </w:r>
    </w:p>
    <w:p w14:paraId="20890732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产品支持蓝屏修复功能，当安装补丁出现蓝屏时可恢复系统。</w:t>
      </w:r>
    </w:p>
    <w:p w14:paraId="5BDF8BD0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支持查看服务端下载的补丁文件信息，并可通过服务端页面提供的下载链接下载相关补丁文件。支持管理员配置补丁包含列表、补丁排除列表。终端用户可查看已安装的补丁、已忽略的补丁，可按照KB号卸载指定补丁，支持清理补丁安装包，减少对磁盘空间的占用。</w:t>
      </w:r>
    </w:p>
    <w:p w14:paraId="23F177B6">
      <w:pPr>
        <w:widowControl/>
        <w:shd w:val="clear" w:color="auto" w:fill="FFFFFF"/>
        <w:spacing w:line="360" w:lineRule="auto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⑧安全与合规检查</w:t>
      </w:r>
    </w:p>
    <w:p w14:paraId="333B563F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支持对Windows终端进行安全基线检查，管理员可根据业务需要，配置每个检查项的扣分标准、修复方式以及是否为否决项，支持设置周期检查、开机检查、定时检查等。安全检查项包括身份鉴别检查、访问控制检查、入侵威胁检查、系统状态检查以及系统运行检查。</w:t>
      </w:r>
    </w:p>
    <w:p w14:paraId="442F0F84"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安全审计检查：审核登录事件、审核帐号管理、审核目录服务访问、审核对象访问、审核策略更改、审核特权使用、审核进程跟踪、审核系统事件、审核账户登录事件、管理审核和安全日志、系统过期日志检查。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D9F94"/>
    <w:multiLevelType w:val="singleLevel"/>
    <w:tmpl w:val="005D9F9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933"/>
    <w:rsid w:val="000A4317"/>
    <w:rsid w:val="000E1CED"/>
    <w:rsid w:val="00161A04"/>
    <w:rsid w:val="001B5E56"/>
    <w:rsid w:val="00210BA2"/>
    <w:rsid w:val="00317753"/>
    <w:rsid w:val="004114DE"/>
    <w:rsid w:val="004F5857"/>
    <w:rsid w:val="00520BE4"/>
    <w:rsid w:val="00575263"/>
    <w:rsid w:val="00595ED1"/>
    <w:rsid w:val="005A11C1"/>
    <w:rsid w:val="005F3CC5"/>
    <w:rsid w:val="00600933"/>
    <w:rsid w:val="00624D7A"/>
    <w:rsid w:val="007C147D"/>
    <w:rsid w:val="007E4B81"/>
    <w:rsid w:val="007F1B54"/>
    <w:rsid w:val="008610D1"/>
    <w:rsid w:val="009B4E0C"/>
    <w:rsid w:val="00A37525"/>
    <w:rsid w:val="00C97571"/>
    <w:rsid w:val="00DF489A"/>
    <w:rsid w:val="00E23E2D"/>
    <w:rsid w:val="00EA64D2"/>
    <w:rsid w:val="00F13B96"/>
    <w:rsid w:val="00F6778B"/>
    <w:rsid w:val="7E75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5</Pages>
  <Words>2565</Words>
  <Characters>2644</Characters>
  <Lines>19</Lines>
  <Paragraphs>5</Paragraphs>
  <TotalTime>144</TotalTime>
  <ScaleCrop>false</ScaleCrop>
  <LinksUpToDate>false</LinksUpToDate>
  <CharactersWithSpaces>2646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2024-11-21T02:06:00Z</dcterms:created>
  <dc:creator>Windows User</dc:creator>
  <cp:lastModifiedBy>吉尔伽美什_闪闪</cp:lastModifiedBy>
  <dcterms:modified xsi:type="dcterms:W3CDTF">2024-11-22T06:29:45Z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D8ACD68730B14762A9D3FE005356677D_12</vt:lpwstr>
  </property>
</Properties>
</file>