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常州大学怀德学院运动场体育器材采购项目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zMjc4ZDM1YTQyYzQ0NTQ1NTNlNGI0NWRiNzFlMjYifQ=="/>
    <w:docVar w:name="KSO_WPS_MARK_KEY" w:val="fdb95a83-6e76-4bf4-aed3-f7588c67cdec"/>
  </w:docVars>
  <w:rsids>
    <w:rsidRoot w:val="5B131852"/>
    <w:rsid w:val="3A9012BB"/>
    <w:rsid w:val="50FA12C9"/>
    <w:rsid w:val="53316F13"/>
    <w:rsid w:val="5B131852"/>
    <w:rsid w:val="5EF5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247</Characters>
  <Lines>0</Lines>
  <Paragraphs>0</Paragraphs>
  <TotalTime>0</TotalTime>
  <ScaleCrop>false</ScaleCrop>
  <LinksUpToDate>false</LinksUpToDate>
  <CharactersWithSpaces>278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资产处</cp:lastModifiedBy>
  <dcterms:modified xsi:type="dcterms:W3CDTF">2024-07-24T04:25:18Z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A404BBE7726E42FE96F91C855E4D192D_13</vt:lpwstr>
  </property>
</Properties>
</file>